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10" w:rsidRPr="00C31592" w:rsidRDefault="00C23F10" w:rsidP="00C315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00">
        <w:rPr>
          <w:rFonts w:ascii="Times New Roman" w:hAnsi="Times New Roman"/>
          <w:noProof/>
          <w:lang w:eastAsia="ru-RU"/>
        </w:rPr>
        <w:drawing>
          <wp:inline distT="0" distB="0" distL="0" distR="0" wp14:anchorId="4412DC56" wp14:editId="229BAEB4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0" w:rsidRPr="00CB2100" w:rsidRDefault="00C23F10" w:rsidP="00C23F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B2100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210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C23F10" w:rsidP="00C23F10">
      <w:pPr>
        <w:spacing w:after="0" w:line="240" w:lineRule="auto"/>
        <w:jc w:val="both"/>
        <w:rPr>
          <w:rFonts w:ascii="Times New Roman" w:hAnsi="Times New Roman"/>
        </w:rPr>
      </w:pPr>
      <w:r w:rsidRPr="00CB2100">
        <w:rPr>
          <w:rFonts w:ascii="Times New Roman" w:hAnsi="Times New Roman"/>
          <w:sz w:val="28"/>
          <w:szCs w:val="28"/>
        </w:rPr>
        <w:t xml:space="preserve">от </w:t>
      </w:r>
      <w:r w:rsidR="00C31592">
        <w:rPr>
          <w:rFonts w:ascii="Times New Roman" w:hAnsi="Times New Roman"/>
          <w:sz w:val="28"/>
          <w:szCs w:val="28"/>
        </w:rPr>
        <w:t>11.06.2019</w:t>
      </w:r>
      <w:r w:rsidRPr="00CB2100">
        <w:rPr>
          <w:rFonts w:ascii="Times New Roman" w:hAnsi="Times New Roman"/>
          <w:sz w:val="28"/>
          <w:szCs w:val="28"/>
        </w:rPr>
        <w:t xml:space="preserve">                </w:t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ab/>
      </w:r>
      <w:r w:rsidR="00C31592">
        <w:rPr>
          <w:rFonts w:ascii="Times New Roman" w:hAnsi="Times New Roman"/>
          <w:sz w:val="28"/>
          <w:szCs w:val="28"/>
        </w:rPr>
        <w:tab/>
      </w:r>
      <w:r w:rsidR="00C31592">
        <w:rPr>
          <w:rFonts w:ascii="Times New Roman" w:hAnsi="Times New Roman"/>
          <w:sz w:val="28"/>
          <w:szCs w:val="28"/>
        </w:rPr>
        <w:tab/>
      </w:r>
      <w:r w:rsidRPr="00CB2100">
        <w:rPr>
          <w:rFonts w:ascii="Times New Roman" w:hAnsi="Times New Roman"/>
          <w:sz w:val="28"/>
          <w:szCs w:val="28"/>
        </w:rPr>
        <w:t xml:space="preserve">№ </w:t>
      </w:r>
      <w:r w:rsidR="00C31592">
        <w:rPr>
          <w:rFonts w:ascii="Times New Roman" w:hAnsi="Times New Roman"/>
          <w:sz w:val="28"/>
          <w:szCs w:val="28"/>
        </w:rPr>
        <w:t>75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</w:rPr>
      </w:pPr>
      <w:r w:rsidRPr="00CB2100">
        <w:rPr>
          <w:rFonts w:ascii="Times New Roman" w:hAnsi="Times New Roman"/>
        </w:rPr>
        <w:t>поселок Южный</w:t>
      </w:r>
    </w:p>
    <w:p w:rsidR="00481344" w:rsidRPr="00C23F10" w:rsidRDefault="00481344" w:rsidP="00C2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644" w:rsidRPr="00C23F10" w:rsidRDefault="00153707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6B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Порядка</w:t>
      </w:r>
      <w:r w:rsidR="00D43644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формирования, утверждения и в</w:t>
      </w:r>
      <w:r w:rsidR="00A5063D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едения плана-графика закупок,  </w:t>
      </w:r>
      <w:r w:rsidR="00D43644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товаров, работ, услуг для обеспечения муниципальных нужд</w:t>
      </w:r>
      <w:r w:rsidR="00481344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54BEB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Южного</w:t>
      </w:r>
      <w:r w:rsidR="00481344" w:rsidRPr="00C23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</w:p>
    <w:p w:rsidR="00D43644" w:rsidRPr="00C23F10" w:rsidRDefault="00D4364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644" w:rsidRPr="00C23F10" w:rsidRDefault="00D4364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D436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положений </w:t>
      </w:r>
      <w:hyperlink r:id="rId6" w:history="1">
        <w:r w:rsidRPr="00C23F1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</w:t>
        </w:r>
      </w:hyperlink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5 июня 2015 года № 554 «О требованиях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товаров, работ, услуг»», руководствуясь надзорным актом Крымской межрайонной прокуратуры в целях актуали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зации регламентированного п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в соответствии с действующим законодательством,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481344" w:rsidRPr="00C23F10" w:rsidRDefault="00D436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формирования, утверждения и ведения плана-графика закупок, товаров, работ, услуг для обеспечения муниципальных нужд </w:t>
      </w:r>
      <w:r w:rsidR="00C23F10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Южного 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Крымского района (приложение). </w:t>
      </w:r>
    </w:p>
    <w:p w:rsidR="00A5063D" w:rsidRPr="00C23F10" w:rsidRDefault="003B73CA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сельского поселения Крымского района от </w:t>
      </w:r>
      <w:r w:rsidR="00A5063D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2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9 октября 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2015 года №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153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«О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услуг» признать утратившим силу. </w:t>
      </w:r>
      <w:r w:rsidR="00A5063D" w:rsidRPr="00C23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81344" w:rsidRPr="00C23F10" w:rsidRDefault="004813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. </w:t>
      </w:r>
      <w:r w:rsidR="00C23F10"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Ведущему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специалисту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Н.Н. </w:t>
      </w:r>
      <w:proofErr w:type="spellStart"/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Таранник</w:t>
      </w:r>
      <w:proofErr w:type="spellEnd"/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в сети «Интернет».</w:t>
      </w:r>
    </w:p>
    <w:p w:rsidR="00481344" w:rsidRPr="00C23F10" w:rsidRDefault="004813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Глава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Крымского района</w:t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П.А. Прудников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BEB" w:rsidRDefault="00954BEB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23F10" w:rsidRP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3"/>
      </w:tblGrid>
      <w:tr w:rsidR="00481344" w:rsidRPr="00C23F10" w:rsidTr="00481344">
        <w:tc>
          <w:tcPr>
            <w:tcW w:w="4927" w:type="dxa"/>
          </w:tcPr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481344" w:rsidRPr="00C23F10" w:rsidRDefault="00954BEB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eastAsia="Tahoma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Южного</w:t>
            </w: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344"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Крымского района </w:t>
            </w:r>
          </w:p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31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11.06.2019</w:t>
            </w: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C31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</w:tbl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644" w:rsidRPr="00C23F10" w:rsidRDefault="00481344" w:rsidP="00D436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3644" w:rsidRPr="00C23F10" w:rsidRDefault="00481344" w:rsidP="00A5063D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 w:themeColor="text1"/>
          <w:kern w:val="2"/>
          <w:sz w:val="28"/>
          <w:szCs w:val="28"/>
          <w:lang w:bidi="hi-IN"/>
        </w:rPr>
      </w:pPr>
      <w:r w:rsidRPr="00C23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D43644" w:rsidRPr="00C23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954BEB" w:rsidRPr="00C23F10">
        <w:rPr>
          <w:rFonts w:ascii="Times New Roman" w:eastAsia="Tahoma" w:hAnsi="Times New Roman" w:cs="Times New Roman"/>
          <w:b/>
          <w:bCs/>
          <w:color w:val="000000" w:themeColor="text1"/>
          <w:kern w:val="2"/>
          <w:sz w:val="28"/>
          <w:szCs w:val="28"/>
          <w:lang w:bidi="hi-IN"/>
        </w:rPr>
        <w:t>Южного</w:t>
      </w:r>
      <w:r w:rsidR="00A5063D" w:rsidRPr="00C23F10">
        <w:rPr>
          <w:rFonts w:ascii="Times New Roman" w:eastAsia="Tahoma" w:hAnsi="Times New Roman" w:cs="Times New Roman"/>
          <w:b/>
          <w:bCs/>
          <w:color w:val="000000" w:themeColor="text1"/>
          <w:kern w:val="2"/>
          <w:sz w:val="28"/>
          <w:szCs w:val="28"/>
          <w:lang w:bidi="hi-IN"/>
        </w:rPr>
        <w:t xml:space="preserve"> сельского поселения Крымского района</w:t>
      </w:r>
    </w:p>
    <w:p w:rsidR="00A5063D" w:rsidRPr="00C23F10" w:rsidRDefault="00A5063D" w:rsidP="00A506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644" w:rsidRPr="00C23F10" w:rsidRDefault="00D43644" w:rsidP="00D436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Порядок формирования, утверждения и ведения планов-графиков закупок для обеспечения муниципальных нужд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A5063D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сельского поселения Крымского района</w:t>
      </w:r>
      <w:r w:rsidR="00A5063D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D46A62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план-график закупок, закупки) в соответствии с </w:t>
      </w:r>
      <w:hyperlink r:id="rId7" w:history="1">
        <w:r w:rsidRPr="00C23F1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</w:t>
      </w:r>
      <w:r w:rsidR="00D46A62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№ 44-ФЗ «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46A62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закон).</w:t>
      </w:r>
    </w:p>
    <w:p w:rsidR="003B73CA" w:rsidRPr="00C23F10" w:rsidRDefault="00D43644" w:rsidP="003B73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2. 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единая информационная система)</w:t>
      </w:r>
      <w:r w:rsidR="00410A2E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3. Планы-графики закупок формируются и утверждаются в течение 10 рабочих дней: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муниципальными заказчиками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A5063D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сельского поселения Крымского района</w:t>
      </w:r>
      <w:r w:rsidR="00A5063D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бюджетными учреждениями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района, за исключением закупок, осуществляемых в соответствии с частями 2 и 6 статьи 15 Федерального закона, - со дня утверждения плана финансово-хозяйственной деятельности;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муниципальными унитарными предприятиями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района, имущество которых принадлежит на праве собственности муниципальному образованию,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 автономными учреждениями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 субсидии на осуществление капитальных вложений). При этом в план-график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 бюджетными учреждениями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района, автономными учреждениями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района, муниципальными унитарными предприятиями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района, осуществляющими полномочия на осуществление закупок в пределах переданных им органами местного самоуправления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района,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4. 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 </w:t>
      </w:r>
      <w:hyperlink r:id="rId8" w:anchor="/document/71067350/entry/0" w:history="1">
        <w:r w:rsidRPr="00C23F1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Правительства Российской Федерации от 5 июня 2015 года 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с учетом следующих положений: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заказчики, указанные в подпункте 1 пункта 3 Порядка, - в сроки, установленные главными распорядителями средств бюджета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района, но не позднее 1 декабря текущего года: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формируют планы-графики закупок после внесения проекта решения о бюджете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Совета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954BEB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- 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2) 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формируют планы-графики закупок после внесения проекта решения о бюджете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Совета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954BEB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3) заказчики, указанные в подпункте 3 пункта 3 Порядка: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- 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- 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Порядка;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4) заказчики, указанные в подпункте 4 пункта 3 Порядка: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- формируют планы-графики закупок после внесения проекта решения о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Совета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954BEB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- утверждают планы-графики закупок после их уточнения (при необходимости) и заключения соглашений о предоставлении субсидий;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5) заказчики, указанные в подпункте 5 пункта 3 Порядка: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формируют планы-графики закупок после внесения проекта решения о бюджете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Совета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954BEB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утверждают планы-графики закупок после их уточнения (при необходимости) и заключения соглашений о передаче указанным юридическим лицам органами местного самоуправления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Формирование, утверждение и ведение планов-графиков закупок заказчиками, указанными в подпункте 5 пункта 3 Порядка, осуществляется от лица органов местного самоуправления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954BEB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, передавших таким заказчикам свои полномочия.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6. 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В случае если определение поставщиков (подрядчиков, исполнителей) для заказчиков, указанных в пункте 3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 - графиков закупок осуществляется с учетом порядка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взаимодействия указанных заказчиков с уполномоченным органом, уполномоченным учреждением.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8. 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9. В случае, если период осуществле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ния закупки, включаемой в план-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10. 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1) изменения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2) 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3) отмены заказчиком закупки, предусмотренной планом-графиком закупок;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5) 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6) реализации решения, принятого заказчиком по итогам обязательного общественного обсуждения закупки;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7) возникновение обстоятельств, предвидеть которые на дату утверждения плана-графика закупок было невозможно.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закрытым способом, за исключением случаев, указанных в пунктах 12 - 12.2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12. 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12.1. 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12.2. 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13. План-график закупок содержит приложения, содержащие обоснования в отношении каждого объекта закупки, подготовленные в порядке, установленном </w:t>
      </w:r>
      <w:hyperlink r:id="rId9" w:anchor="/document/71067244/entry/0" w:history="1">
        <w:r w:rsidRPr="00C23F1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 Правительства Российской Федерации от 5 июня 2015 года N 555 "Об установлении порядка обоснования закупок товаров, работ и услуг для обеспечения государственных и муниципальных нужд и форм такого обоснования" в соответствии с частью 7 статьи 18 Федерального закона, в том числе: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1) 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с указанием включенных в объект закупки количества и единиц измерения товаров, работ, услуг (при наличии);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</w:t>
      </w: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требований), установленные в соответствии с частью 2 статьи 31 Федерального закона.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14. Информация, включаемая в план-график закупок, должна соответствовать показателям плана закупок, в том числе: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1) 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2) 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410A2E" w:rsidRPr="00C23F10" w:rsidRDefault="00410A2E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15. 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C23F10" w:rsidRDefault="00C23F10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1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Эксперт администрации</w:t>
      </w:r>
    </w:p>
    <w:p w:rsidR="00C23F10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Южного сельского поселения</w:t>
      </w:r>
    </w:p>
    <w:p w:rsidR="005D50AE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  <w:t xml:space="preserve">А.Г. </w:t>
      </w:r>
      <w:proofErr w:type="spellStart"/>
      <w:r w:rsidRPr="00C23F10">
        <w:rPr>
          <w:rFonts w:ascii="Times New Roman" w:hAnsi="Times New Roman" w:cs="Times New Roman"/>
          <w:bCs/>
          <w:sz w:val="28"/>
          <w:szCs w:val="28"/>
        </w:rPr>
        <w:t>Слукин</w:t>
      </w:r>
      <w:proofErr w:type="spellEnd"/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D50AE" w:rsidRPr="00C23F10" w:rsidSect="00C3159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6" w15:restartNumberingAfterBreak="0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C87"/>
    <w:rsid w:val="00026B83"/>
    <w:rsid w:val="00051F84"/>
    <w:rsid w:val="00062B23"/>
    <w:rsid w:val="000D1C8F"/>
    <w:rsid w:val="000F4EA4"/>
    <w:rsid w:val="00117F40"/>
    <w:rsid w:val="00153707"/>
    <w:rsid w:val="001B4351"/>
    <w:rsid w:val="002478B1"/>
    <w:rsid w:val="0025395E"/>
    <w:rsid w:val="00256BFA"/>
    <w:rsid w:val="002F2393"/>
    <w:rsid w:val="00321DA7"/>
    <w:rsid w:val="0034571F"/>
    <w:rsid w:val="00353478"/>
    <w:rsid w:val="003B2959"/>
    <w:rsid w:val="003B73CA"/>
    <w:rsid w:val="00410A2E"/>
    <w:rsid w:val="00447CF8"/>
    <w:rsid w:val="004707E0"/>
    <w:rsid w:val="00481344"/>
    <w:rsid w:val="004D5BA2"/>
    <w:rsid w:val="00505AE7"/>
    <w:rsid w:val="00512F5B"/>
    <w:rsid w:val="0052378A"/>
    <w:rsid w:val="005D50AE"/>
    <w:rsid w:val="005D59B5"/>
    <w:rsid w:val="006028C3"/>
    <w:rsid w:val="006412F7"/>
    <w:rsid w:val="00656FAD"/>
    <w:rsid w:val="006607D8"/>
    <w:rsid w:val="006E6BB5"/>
    <w:rsid w:val="006F342F"/>
    <w:rsid w:val="0071298C"/>
    <w:rsid w:val="007617D6"/>
    <w:rsid w:val="00762E43"/>
    <w:rsid w:val="007A3141"/>
    <w:rsid w:val="007A406E"/>
    <w:rsid w:val="007D75C7"/>
    <w:rsid w:val="007F30D6"/>
    <w:rsid w:val="00824C3B"/>
    <w:rsid w:val="008301CF"/>
    <w:rsid w:val="008869BA"/>
    <w:rsid w:val="00894C2C"/>
    <w:rsid w:val="008D3C85"/>
    <w:rsid w:val="008D46A6"/>
    <w:rsid w:val="00916D0D"/>
    <w:rsid w:val="00930658"/>
    <w:rsid w:val="00954BEB"/>
    <w:rsid w:val="00962481"/>
    <w:rsid w:val="00992204"/>
    <w:rsid w:val="00A5063D"/>
    <w:rsid w:val="00A67A77"/>
    <w:rsid w:val="00A9213E"/>
    <w:rsid w:val="00AF597F"/>
    <w:rsid w:val="00AF5DB8"/>
    <w:rsid w:val="00B6322E"/>
    <w:rsid w:val="00B72C87"/>
    <w:rsid w:val="00B91EFF"/>
    <w:rsid w:val="00BD07E5"/>
    <w:rsid w:val="00BF3A97"/>
    <w:rsid w:val="00C23F10"/>
    <w:rsid w:val="00C31592"/>
    <w:rsid w:val="00C64184"/>
    <w:rsid w:val="00CA4265"/>
    <w:rsid w:val="00CC350C"/>
    <w:rsid w:val="00D0667B"/>
    <w:rsid w:val="00D43644"/>
    <w:rsid w:val="00D46A62"/>
    <w:rsid w:val="00D81C0D"/>
    <w:rsid w:val="00DB0805"/>
    <w:rsid w:val="00E46D95"/>
    <w:rsid w:val="00E52849"/>
    <w:rsid w:val="00E60331"/>
    <w:rsid w:val="00E652B3"/>
    <w:rsid w:val="00E67F65"/>
    <w:rsid w:val="00E751F8"/>
    <w:rsid w:val="00EC15BB"/>
    <w:rsid w:val="00EC32E1"/>
    <w:rsid w:val="00EE435E"/>
    <w:rsid w:val="00F37E6D"/>
    <w:rsid w:val="00F43A2C"/>
    <w:rsid w:val="00F83199"/>
    <w:rsid w:val="00FC322C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3061"/>
  <w15:docId w15:val="{9CACB43A-329D-469F-993D-9DC15AA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customStyle="1" w:styleId="Textbody">
    <w:name w:val="Text body"/>
    <w:basedOn w:val="a"/>
    <w:rsid w:val="007617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D066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4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Не вступил в силу"/>
    <w:uiPriority w:val="99"/>
    <w:rsid w:val="00CC350C"/>
    <w:rPr>
      <w:b w:val="0"/>
      <w:bCs w:val="0"/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C23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0253464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8</cp:revision>
  <cp:lastPrinted>2019-06-26T07:58:00Z</cp:lastPrinted>
  <dcterms:created xsi:type="dcterms:W3CDTF">2019-06-14T11:18:00Z</dcterms:created>
  <dcterms:modified xsi:type="dcterms:W3CDTF">2019-06-26T07:59:00Z</dcterms:modified>
</cp:coreProperties>
</file>